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42" w:rsidRPr="00FD7B42" w:rsidRDefault="00FD7B42" w:rsidP="00DA692A">
      <w:pPr>
        <w:tabs>
          <w:tab w:val="left" w:pos="915"/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28"/>
          <w:szCs w:val="36"/>
        </w:rPr>
      </w:pPr>
      <w:r w:rsidRPr="00FD7B42">
        <w:rPr>
          <w:rFonts w:ascii="Arial" w:hAnsi="Arial" w:cs="Arial"/>
          <w:b/>
          <w:bCs/>
          <w:sz w:val="28"/>
          <w:szCs w:val="36"/>
        </w:rPr>
        <w:t>Governor’s Office of Disability Affairs</w:t>
      </w:r>
    </w:p>
    <w:p w:rsidR="00FD7B42" w:rsidRPr="00DA692A" w:rsidRDefault="00FD7B42" w:rsidP="00DA692A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2"/>
          <w:szCs w:val="24"/>
        </w:rPr>
      </w:pPr>
      <w:r w:rsidRPr="00DA692A">
        <w:rPr>
          <w:rFonts w:ascii="Arial" w:eastAsia="Calibri" w:hAnsi="Arial" w:cs="Arial"/>
          <w:b/>
          <w:color w:val="auto"/>
          <w:kern w:val="0"/>
          <w:sz w:val="32"/>
          <w:szCs w:val="24"/>
        </w:rPr>
        <w:t xml:space="preserve">State As a Model Employer </w:t>
      </w:r>
      <w:r w:rsidR="00573DBA" w:rsidRPr="00DA692A">
        <w:rPr>
          <w:rFonts w:ascii="Arial" w:eastAsia="Calibri" w:hAnsi="Arial" w:cs="Arial"/>
          <w:b/>
          <w:color w:val="auto"/>
          <w:kern w:val="0"/>
          <w:sz w:val="32"/>
          <w:szCs w:val="24"/>
        </w:rPr>
        <w:t xml:space="preserve">(SAME) </w:t>
      </w:r>
      <w:r w:rsidRPr="00DA692A">
        <w:rPr>
          <w:rFonts w:ascii="Arial" w:eastAsia="Calibri" w:hAnsi="Arial" w:cs="Arial"/>
          <w:b/>
          <w:color w:val="auto"/>
          <w:kern w:val="0"/>
          <w:sz w:val="32"/>
          <w:szCs w:val="24"/>
        </w:rPr>
        <w:t>Task Force</w:t>
      </w:r>
    </w:p>
    <w:p w:rsidR="00FD7B42" w:rsidRDefault="008160A3" w:rsidP="00FD7B4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4"/>
        </w:rPr>
      </w:pPr>
      <w:r>
        <w:rPr>
          <w:rFonts w:ascii="Arial" w:eastAsia="Calibri" w:hAnsi="Arial" w:cs="Arial"/>
          <w:b/>
          <w:color w:val="auto"/>
          <w:kern w:val="0"/>
          <w:sz w:val="28"/>
          <w:szCs w:val="24"/>
        </w:rPr>
        <w:t>May 14, 2021</w:t>
      </w:r>
      <w:r w:rsidR="002D2938">
        <w:rPr>
          <w:rFonts w:ascii="Arial" w:eastAsia="Calibri" w:hAnsi="Arial" w:cs="Arial"/>
          <w:b/>
          <w:color w:val="auto"/>
          <w:kern w:val="0"/>
          <w:sz w:val="28"/>
          <w:szCs w:val="24"/>
        </w:rPr>
        <w:t xml:space="preserve">   11:00 – 12</w:t>
      </w:r>
      <w:r w:rsidR="00FD7B42" w:rsidRPr="00FD7B42">
        <w:rPr>
          <w:rFonts w:ascii="Arial" w:eastAsia="Calibri" w:hAnsi="Arial" w:cs="Arial"/>
          <w:b/>
          <w:color w:val="auto"/>
          <w:kern w:val="0"/>
          <w:sz w:val="28"/>
          <w:szCs w:val="24"/>
        </w:rPr>
        <w:t>:00</w:t>
      </w:r>
    </w:p>
    <w:p w:rsidR="00FD7B42" w:rsidRPr="00FD7B42" w:rsidRDefault="008160A3" w:rsidP="00FD7B42">
      <w:pPr>
        <w:jc w:val="center"/>
        <w:rPr>
          <w:rFonts w:ascii="Arial" w:hAnsi="Arial" w:cs="Arial"/>
          <w:b/>
          <w:bCs/>
          <w:iCs/>
          <w:color w:val="auto"/>
          <w:sz w:val="28"/>
          <w:szCs w:val="24"/>
        </w:rPr>
      </w:pPr>
      <w:r>
        <w:rPr>
          <w:rFonts w:ascii="Arial" w:hAnsi="Arial" w:cs="Arial"/>
          <w:b/>
          <w:bCs/>
          <w:iCs/>
          <w:color w:val="auto"/>
          <w:sz w:val="28"/>
          <w:szCs w:val="24"/>
        </w:rPr>
        <w:t>MINUTES</w:t>
      </w:r>
    </w:p>
    <w:p w:rsidR="0076772D" w:rsidRDefault="0076772D" w:rsidP="00813F71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813F71" w:rsidRPr="00894221" w:rsidRDefault="00DF1111" w:rsidP="00813F71">
      <w:pPr>
        <w:spacing w:line="276" w:lineRule="auto"/>
        <w:rPr>
          <w:rFonts w:ascii="Arial" w:hAnsi="Arial" w:cs="Arial"/>
          <w:b/>
          <w:bCs/>
          <w:sz w:val="24"/>
          <w:szCs w:val="26"/>
        </w:rPr>
      </w:pPr>
      <w:r w:rsidRPr="00894221">
        <w:rPr>
          <w:rFonts w:ascii="Arial" w:hAnsi="Arial" w:cs="Arial"/>
          <w:b/>
          <w:bCs/>
          <w:sz w:val="24"/>
          <w:szCs w:val="26"/>
        </w:rPr>
        <w:t>Call to Order</w:t>
      </w:r>
    </w:p>
    <w:p w:rsidR="008160A3" w:rsidRPr="00894221" w:rsidRDefault="008160A3" w:rsidP="00813F71">
      <w:pPr>
        <w:spacing w:line="276" w:lineRule="auto"/>
        <w:rPr>
          <w:rFonts w:ascii="Arial" w:hAnsi="Arial" w:cs="Arial"/>
          <w:bCs/>
          <w:sz w:val="24"/>
          <w:szCs w:val="26"/>
        </w:rPr>
      </w:pPr>
    </w:p>
    <w:p w:rsidR="001317F6" w:rsidRPr="00894221" w:rsidRDefault="002D2938" w:rsidP="001317F6">
      <w:pPr>
        <w:spacing w:line="276" w:lineRule="auto"/>
        <w:rPr>
          <w:rFonts w:ascii="Arial" w:hAnsi="Arial" w:cs="Arial"/>
          <w:bCs/>
          <w:sz w:val="24"/>
          <w:szCs w:val="26"/>
        </w:rPr>
      </w:pPr>
      <w:r w:rsidRPr="00894221">
        <w:rPr>
          <w:rFonts w:ascii="Arial" w:hAnsi="Arial" w:cs="Arial"/>
          <w:bCs/>
          <w:sz w:val="24"/>
          <w:szCs w:val="26"/>
        </w:rPr>
        <w:t>Roll call of SAME Taskforce m</w:t>
      </w:r>
      <w:r w:rsidR="001317F6" w:rsidRPr="00894221">
        <w:rPr>
          <w:rFonts w:ascii="Arial" w:hAnsi="Arial" w:cs="Arial"/>
          <w:bCs/>
          <w:sz w:val="24"/>
          <w:szCs w:val="26"/>
        </w:rPr>
        <w:t>embers</w:t>
      </w:r>
      <w:r w:rsidRPr="00894221">
        <w:rPr>
          <w:rFonts w:ascii="Arial" w:hAnsi="Arial" w:cs="Arial"/>
          <w:bCs/>
          <w:sz w:val="24"/>
          <w:szCs w:val="26"/>
        </w:rPr>
        <w:t>; recognition of agency designees &amp; guests</w:t>
      </w:r>
    </w:p>
    <w:p w:rsidR="00CE76A6" w:rsidRPr="00894221" w:rsidRDefault="00CE76A6" w:rsidP="00CE76A6">
      <w:pPr>
        <w:spacing w:line="276" w:lineRule="auto"/>
        <w:rPr>
          <w:rFonts w:ascii="Arial" w:hAnsi="Arial" w:cs="Arial"/>
          <w:bCs/>
          <w:sz w:val="24"/>
          <w:szCs w:val="26"/>
        </w:rPr>
      </w:pPr>
      <w:r w:rsidRPr="00894221">
        <w:rPr>
          <w:rFonts w:ascii="Arial" w:hAnsi="Arial" w:cs="Arial"/>
          <w:bCs/>
          <w:sz w:val="24"/>
          <w:szCs w:val="26"/>
        </w:rPr>
        <w:t>Taskforce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65"/>
        <w:gridCol w:w="2340"/>
        <w:gridCol w:w="900"/>
        <w:gridCol w:w="270"/>
        <w:gridCol w:w="2070"/>
        <w:gridCol w:w="900"/>
        <w:gridCol w:w="270"/>
        <w:gridCol w:w="1980"/>
        <w:gridCol w:w="900"/>
      </w:tblGrid>
      <w:tr w:rsidR="00CE76A6" w:rsidRPr="00894221" w:rsidTr="004B0A52">
        <w:trPr>
          <w:trHeight w:val="281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Doug Bordelon   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DEQ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X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Shelley Johnson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DCFS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Jim Mitchell</w:t>
            </w:r>
            <w:r w:rsidRPr="00894221">
              <w:rPr>
                <w:rFonts w:ascii="Arial" w:hAnsi="Arial" w:cs="Arial"/>
                <w:bCs/>
                <w:sz w:val="22"/>
                <w:szCs w:val="24"/>
              </w:rPr>
              <w:tab/>
              <w:t xml:space="preserve">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OTS</w:t>
            </w:r>
          </w:p>
        </w:tc>
      </w:tr>
      <w:tr w:rsidR="00CE76A6" w:rsidRPr="00894221" w:rsidTr="004B0A52">
        <w:trPr>
          <w:trHeight w:val="269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Burgundy Cummings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SOS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X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Sue Killam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HDC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Bambi Polotzola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GODA</w:t>
            </w:r>
          </w:p>
        </w:tc>
      </w:tr>
      <w:tr w:rsidR="00CE76A6" w:rsidRPr="00894221" w:rsidTr="004B0A52">
        <w:trPr>
          <w:trHeight w:val="281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P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Lauren Guttzeit  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LDH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Joe Lewis</w:t>
            </w:r>
            <w:r w:rsidRPr="00894221">
              <w:rPr>
                <w:rFonts w:ascii="Arial" w:hAnsi="Arial" w:cs="Arial"/>
                <w:bCs/>
                <w:sz w:val="22"/>
                <w:szCs w:val="24"/>
              </w:rPr>
              <w:tab/>
              <w:t xml:space="preserve">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CRP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Cheryl Schilling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DOA</w:t>
            </w:r>
          </w:p>
        </w:tc>
      </w:tr>
      <w:tr w:rsidR="00CE76A6" w:rsidRPr="00894221" w:rsidTr="004B0A52">
        <w:trPr>
          <w:trHeight w:val="269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X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Julie Hagan     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OCDD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X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Tanisha Matthews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DOC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X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Lauren Womack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LCG</w:t>
            </w:r>
          </w:p>
        </w:tc>
      </w:tr>
      <w:tr w:rsidR="00CE76A6" w:rsidRPr="00894221" w:rsidTr="004B0A52">
        <w:trPr>
          <w:trHeight w:val="281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Samantha Harris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SCS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P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Kenneth York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LRS</w:t>
            </w:r>
          </w:p>
        </w:tc>
      </w:tr>
    </w:tbl>
    <w:p w:rsidR="00CE76A6" w:rsidRPr="00894221" w:rsidRDefault="00CE76A6" w:rsidP="00CE76A6">
      <w:pPr>
        <w:spacing w:line="276" w:lineRule="auto"/>
        <w:rPr>
          <w:rFonts w:ascii="Arial" w:hAnsi="Arial" w:cs="Arial"/>
          <w:sz w:val="24"/>
          <w:szCs w:val="26"/>
        </w:rPr>
      </w:pPr>
      <w:r w:rsidRPr="00894221">
        <w:rPr>
          <w:rFonts w:ascii="Arial" w:hAnsi="Arial" w:cs="Arial"/>
          <w:sz w:val="24"/>
          <w:szCs w:val="26"/>
        </w:rPr>
        <w:t>Others in attendance: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65"/>
        <w:gridCol w:w="2340"/>
        <w:gridCol w:w="900"/>
        <w:gridCol w:w="270"/>
        <w:gridCol w:w="2070"/>
        <w:gridCol w:w="900"/>
        <w:gridCol w:w="270"/>
        <w:gridCol w:w="1980"/>
        <w:gridCol w:w="900"/>
      </w:tblGrid>
      <w:tr w:rsidR="00CE76A6" w:rsidRPr="00894221" w:rsidTr="00CE76A6">
        <w:trPr>
          <w:trHeight w:val="269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Ashley Young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LDH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Brenda Bohrer     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LRS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Lesia Warren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DOTD</w:t>
            </w:r>
          </w:p>
        </w:tc>
      </w:tr>
      <w:tr w:rsidR="00CE76A6" w:rsidRPr="00894221" w:rsidTr="00CE76A6">
        <w:trPr>
          <w:trHeight w:val="269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Becky Palmer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LDH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Charlene Gradney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OBH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Marcella Jones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LDH</w:t>
            </w:r>
          </w:p>
        </w:tc>
      </w:tr>
      <w:tr w:rsidR="00CE76A6" w:rsidRPr="00894221" w:rsidTr="00CE76A6">
        <w:trPr>
          <w:trHeight w:val="269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Belinda Barron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DOTD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Ginger Krieg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DPS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Tracy Barker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LDH</w:t>
            </w:r>
          </w:p>
        </w:tc>
      </w:tr>
      <w:tr w:rsidR="00CE76A6" w:rsidRPr="00894221" w:rsidTr="00CE76A6">
        <w:trPr>
          <w:trHeight w:val="281"/>
        </w:trPr>
        <w:tc>
          <w:tcPr>
            <w:tcW w:w="265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34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Brandon Blanchard  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DOA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 xml:space="preserve">Julie Chapman        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CRT</w:t>
            </w:r>
          </w:p>
        </w:tc>
        <w:tc>
          <w:tcPr>
            <w:tcW w:w="27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4"/>
                <w:szCs w:val="24"/>
              </w:rPr>
              <w:t>√</w:t>
            </w:r>
          </w:p>
        </w:tc>
        <w:tc>
          <w:tcPr>
            <w:tcW w:w="198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Jamar Ennis</w:t>
            </w:r>
          </w:p>
        </w:tc>
        <w:tc>
          <w:tcPr>
            <w:tcW w:w="900" w:type="dxa"/>
          </w:tcPr>
          <w:p w:rsidR="00CE76A6" w:rsidRPr="00894221" w:rsidRDefault="00CE76A6" w:rsidP="004B0A52">
            <w:pPr>
              <w:spacing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894221">
              <w:rPr>
                <w:rFonts w:ascii="Arial" w:hAnsi="Arial" w:cs="Arial"/>
                <w:bCs/>
                <w:sz w:val="22"/>
                <w:szCs w:val="24"/>
              </w:rPr>
              <w:t>GODA</w:t>
            </w:r>
          </w:p>
        </w:tc>
      </w:tr>
    </w:tbl>
    <w:p w:rsidR="008817D5" w:rsidRPr="00894221" w:rsidRDefault="008817D5" w:rsidP="00813F71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E45CCF" w:rsidRPr="00894221" w:rsidRDefault="00E45CCF" w:rsidP="00087859">
      <w:pPr>
        <w:pStyle w:val="BodyText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894221">
        <w:rPr>
          <w:rFonts w:ascii="Arial" w:hAnsi="Arial" w:cs="Arial"/>
          <w:b/>
          <w:bCs/>
          <w:color w:val="000000"/>
          <w:kern w:val="28"/>
          <w:sz w:val="24"/>
          <w:szCs w:val="24"/>
        </w:rPr>
        <w:t>Vote to select Chairperson of SAME Taskforce</w:t>
      </w:r>
    </w:p>
    <w:p w:rsidR="00D73DA7" w:rsidRPr="00894221" w:rsidRDefault="008160A3" w:rsidP="00087859">
      <w:pPr>
        <w:pStyle w:val="BodyText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>The members in attendance conducted a brief discussion</w:t>
      </w:r>
      <w:r w:rsidR="00FE61A4"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regarding appointment of the SAME Task Force Chairperson.</w:t>
      </w:r>
      <w:r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CE76A6"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Bambi shared that prior to the meeting </w:t>
      </w:r>
      <w:r w:rsidR="00D73DA7"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Lauren Womack volunteered to serve as the SAME Taskforce Chairperson. Burgundy Cummings made a motion to appoint Lauren Womack as Chairperson. </w:t>
      </w:r>
      <w:r w:rsidR="004E53E3"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>Samantha Harris</w:t>
      </w:r>
      <w:r w:rsidR="00D73DA7" w:rsidRPr="0089422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seconded the motion to appoint Lauren Womack as the Chairperson of the SAME Taskforce. The motion passed without any abstentions, objections, or discussion. </w:t>
      </w:r>
    </w:p>
    <w:p w:rsidR="00AE01E9" w:rsidRPr="00894221" w:rsidRDefault="00AE01E9" w:rsidP="00087859">
      <w:pPr>
        <w:pStyle w:val="BodyText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087859" w:rsidRPr="00894221" w:rsidRDefault="00087859" w:rsidP="00087859">
      <w:pPr>
        <w:pStyle w:val="BodyText"/>
        <w:rPr>
          <w:rFonts w:ascii="Arial" w:hAnsi="Arial" w:cs="Arial"/>
          <w:b/>
          <w:sz w:val="24"/>
          <w:szCs w:val="24"/>
        </w:rPr>
      </w:pPr>
      <w:r w:rsidRPr="00894221">
        <w:rPr>
          <w:rFonts w:ascii="Arial" w:hAnsi="Arial" w:cs="Arial"/>
          <w:b/>
          <w:bCs/>
          <w:color w:val="000000"/>
          <w:kern w:val="28"/>
          <w:sz w:val="24"/>
          <w:szCs w:val="24"/>
        </w:rPr>
        <w:t>R</w:t>
      </w:r>
      <w:r w:rsidRPr="00894221">
        <w:rPr>
          <w:rFonts w:ascii="Arial" w:hAnsi="Arial" w:cs="Arial"/>
          <w:b/>
          <w:sz w:val="24"/>
          <w:szCs w:val="24"/>
        </w:rPr>
        <w:t>ev</w:t>
      </w:r>
      <w:r w:rsidR="00CE76A6" w:rsidRPr="00894221">
        <w:rPr>
          <w:rFonts w:ascii="Arial" w:hAnsi="Arial" w:cs="Arial"/>
          <w:b/>
          <w:sz w:val="24"/>
          <w:szCs w:val="24"/>
        </w:rPr>
        <w:t xml:space="preserve">iew of recommendations from </w:t>
      </w:r>
      <w:hyperlink r:id="rId8" w:history="1">
        <w:r w:rsidRPr="00894221">
          <w:rPr>
            <w:rStyle w:val="Hyperlink"/>
            <w:rFonts w:ascii="Arial" w:hAnsi="Arial" w:cs="Arial"/>
            <w:b/>
            <w:sz w:val="24"/>
            <w:szCs w:val="24"/>
          </w:rPr>
          <w:t>State As a Model Employer Report</w:t>
        </w:r>
      </w:hyperlink>
      <w:r w:rsidRPr="00894221">
        <w:rPr>
          <w:rFonts w:ascii="Arial" w:hAnsi="Arial" w:cs="Arial"/>
          <w:b/>
          <w:bCs/>
          <w:sz w:val="24"/>
          <w:szCs w:val="24"/>
        </w:rPr>
        <w:tab/>
      </w:r>
    </w:p>
    <w:p w:rsidR="004E53E3" w:rsidRPr="00894221" w:rsidRDefault="004E53E3" w:rsidP="004E53E3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894221">
        <w:rPr>
          <w:rFonts w:ascii="Arial" w:hAnsi="Arial" w:cs="Arial"/>
          <w:b/>
          <w:bCs/>
          <w:sz w:val="24"/>
          <w:szCs w:val="24"/>
        </w:rPr>
        <w:t>3.1</w:t>
      </w:r>
      <w:r w:rsidRPr="00894221">
        <w:rPr>
          <w:rFonts w:ascii="Arial" w:hAnsi="Arial" w:cs="Arial"/>
          <w:b/>
          <w:bCs/>
          <w:sz w:val="24"/>
          <w:szCs w:val="24"/>
        </w:rPr>
        <w:tab/>
        <w:t>Establish Statewide Annual Goals and Recommend Agency Specific Annual Goals Based on Data Collected through Survey of State Workforce</w:t>
      </w:r>
    </w:p>
    <w:p w:rsidR="004E53E3" w:rsidRPr="00894221" w:rsidRDefault="004E53E3" w:rsidP="004E53E3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894221">
        <w:rPr>
          <w:rFonts w:ascii="Arial" w:hAnsi="Arial" w:cs="Arial"/>
          <w:b/>
          <w:bCs/>
          <w:sz w:val="24"/>
          <w:szCs w:val="24"/>
        </w:rPr>
        <w:t>•</w:t>
      </w:r>
      <w:r w:rsidRPr="00894221">
        <w:rPr>
          <w:rFonts w:ascii="Arial" w:hAnsi="Arial" w:cs="Arial"/>
          <w:b/>
          <w:bCs/>
          <w:sz w:val="24"/>
          <w:szCs w:val="24"/>
        </w:rPr>
        <w:tab/>
        <w:t>Discuss and decide on method for data collection for 2021</w:t>
      </w:r>
    </w:p>
    <w:p w:rsidR="00D73DA7" w:rsidRPr="00894221" w:rsidRDefault="00D73DA7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>Bambi Polotzola provided a brief overview of the SAME Report. It was mentioned that the taskforce has collected data for three years, which is evidenced in the SAME link. Polotzola also gave a brief overview of the SAME survey</w:t>
      </w:r>
      <w:r w:rsidR="00317616" w:rsidRPr="00894221">
        <w:rPr>
          <w:rFonts w:ascii="Arial" w:hAnsi="Arial" w:cs="Arial"/>
          <w:bCs/>
          <w:sz w:val="24"/>
          <w:szCs w:val="24"/>
        </w:rPr>
        <w:t xml:space="preserve">. Polotzola mentioned that several survey questions were added to collect more data that would be useful to determine the various needs of consumers. </w:t>
      </w:r>
    </w:p>
    <w:p w:rsidR="00317616" w:rsidRPr="00894221" w:rsidRDefault="00317616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 xml:space="preserve">Bambi provided that the data collection has been an overwhelming process, and it is a large task to ask of one person. </w:t>
      </w:r>
      <w:r w:rsidR="00FE61A4" w:rsidRPr="00894221">
        <w:rPr>
          <w:rFonts w:ascii="Arial" w:hAnsi="Arial" w:cs="Arial"/>
          <w:bCs/>
          <w:sz w:val="24"/>
          <w:szCs w:val="24"/>
        </w:rPr>
        <w:t>It was mentioned that u</w:t>
      </w:r>
      <w:r w:rsidRPr="00894221">
        <w:rPr>
          <w:rFonts w:ascii="Arial" w:hAnsi="Arial" w:cs="Arial"/>
          <w:bCs/>
          <w:sz w:val="24"/>
          <w:szCs w:val="24"/>
        </w:rPr>
        <w:t>tilizing Master level grad students is a prudent option</w:t>
      </w:r>
      <w:r w:rsidR="00FE61A4" w:rsidRPr="00894221">
        <w:rPr>
          <w:rFonts w:ascii="Arial" w:hAnsi="Arial" w:cs="Arial"/>
          <w:bCs/>
          <w:sz w:val="24"/>
          <w:szCs w:val="24"/>
        </w:rPr>
        <w:t xml:space="preserve">. </w:t>
      </w:r>
    </w:p>
    <w:p w:rsidR="009A7514" w:rsidRPr="00F97EF0" w:rsidRDefault="00317616" w:rsidP="00F97EF0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A7514">
        <w:rPr>
          <w:rFonts w:ascii="Arial" w:hAnsi="Arial" w:cs="Arial"/>
          <w:bCs/>
          <w:sz w:val="24"/>
          <w:szCs w:val="24"/>
        </w:rPr>
        <w:lastRenderedPageBreak/>
        <w:t xml:space="preserve">Jim Mitchell suggested that the survey inquire if the participant received any workplace </w:t>
      </w:r>
      <w:r w:rsidR="00DF32AA" w:rsidRPr="009A7514">
        <w:rPr>
          <w:rFonts w:ascii="Arial" w:hAnsi="Arial" w:cs="Arial"/>
          <w:bCs/>
          <w:sz w:val="24"/>
          <w:szCs w:val="24"/>
        </w:rPr>
        <w:t>accommodations</w:t>
      </w:r>
      <w:r w:rsidRPr="009A7514">
        <w:rPr>
          <w:rFonts w:ascii="Arial" w:hAnsi="Arial" w:cs="Arial"/>
          <w:bCs/>
          <w:sz w:val="24"/>
          <w:szCs w:val="24"/>
        </w:rPr>
        <w:t>, and if so, who and how was it paid for.</w:t>
      </w:r>
      <w:r w:rsidR="006B73C1" w:rsidRPr="009A7514">
        <w:rPr>
          <w:rFonts w:ascii="Arial" w:hAnsi="Arial" w:cs="Arial"/>
          <w:bCs/>
          <w:sz w:val="24"/>
          <w:szCs w:val="24"/>
        </w:rPr>
        <w:t xml:space="preserve"> It was also suggested that a question be posed that asks whether or not an individual has spoken with their employer regarding an accommodation. </w:t>
      </w:r>
      <w:r w:rsidR="009A7514">
        <w:rPr>
          <w:rFonts w:ascii="Arial" w:hAnsi="Arial" w:cs="Arial"/>
          <w:bCs/>
          <w:sz w:val="24"/>
          <w:szCs w:val="24"/>
        </w:rPr>
        <w:t>It was agreed that the additional open ended questions wouldn’t require an answer but would be visible to all survey respondents.</w:t>
      </w:r>
      <w:r w:rsidR="00F97EF0" w:rsidRPr="00F97EF0">
        <w:rPr>
          <w:rFonts w:ascii="Arial" w:hAnsi="Arial" w:cs="Arial"/>
          <w:bCs/>
          <w:sz w:val="24"/>
          <w:szCs w:val="24"/>
        </w:rPr>
        <w:t xml:space="preserve"> </w:t>
      </w:r>
      <w:r w:rsidR="00F97EF0">
        <w:rPr>
          <w:rFonts w:ascii="Arial" w:hAnsi="Arial" w:cs="Arial"/>
          <w:bCs/>
          <w:sz w:val="24"/>
          <w:szCs w:val="24"/>
        </w:rPr>
        <w:t>It was suggested that</w:t>
      </w:r>
      <w:r w:rsidR="00F97EF0" w:rsidRPr="00894221">
        <w:rPr>
          <w:rFonts w:ascii="Arial" w:hAnsi="Arial" w:cs="Arial"/>
          <w:bCs/>
          <w:sz w:val="24"/>
          <w:szCs w:val="24"/>
        </w:rPr>
        <w:t xml:space="preserve"> all of </w:t>
      </w:r>
      <w:r w:rsidR="00F97EF0">
        <w:rPr>
          <w:rFonts w:ascii="Arial" w:hAnsi="Arial" w:cs="Arial"/>
          <w:bCs/>
          <w:sz w:val="24"/>
          <w:szCs w:val="24"/>
        </w:rPr>
        <w:t xml:space="preserve">the </w:t>
      </w:r>
      <w:r w:rsidR="00F97EF0" w:rsidRPr="00894221">
        <w:rPr>
          <w:rFonts w:ascii="Arial" w:hAnsi="Arial" w:cs="Arial"/>
          <w:bCs/>
          <w:sz w:val="24"/>
          <w:szCs w:val="24"/>
        </w:rPr>
        <w:t xml:space="preserve">questions be listed beforehand, that will enable a participant to scroll over the questions, this option help a person decide whether or not they would like to participate. </w:t>
      </w:r>
    </w:p>
    <w:p w:rsidR="006B73C1" w:rsidRPr="009A7514" w:rsidRDefault="006B73C1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A7514">
        <w:rPr>
          <w:rFonts w:ascii="Arial" w:hAnsi="Arial" w:cs="Arial"/>
          <w:bCs/>
          <w:sz w:val="24"/>
          <w:szCs w:val="24"/>
        </w:rPr>
        <w:t>Burgundy</w:t>
      </w:r>
      <w:r w:rsidR="00FE61A4" w:rsidRPr="009A7514">
        <w:rPr>
          <w:rFonts w:ascii="Arial" w:hAnsi="Arial" w:cs="Arial"/>
          <w:bCs/>
          <w:sz w:val="24"/>
          <w:szCs w:val="24"/>
        </w:rPr>
        <w:t xml:space="preserve"> Cummings </w:t>
      </w:r>
      <w:r w:rsidRPr="009A7514">
        <w:rPr>
          <w:rFonts w:ascii="Arial" w:hAnsi="Arial" w:cs="Arial"/>
          <w:bCs/>
          <w:sz w:val="24"/>
          <w:szCs w:val="24"/>
        </w:rPr>
        <w:t xml:space="preserve">mentioned </w:t>
      </w:r>
      <w:r w:rsidR="00FE61A4" w:rsidRPr="009A7514">
        <w:rPr>
          <w:rFonts w:ascii="Arial" w:hAnsi="Arial" w:cs="Arial"/>
          <w:bCs/>
          <w:sz w:val="24"/>
          <w:szCs w:val="24"/>
        </w:rPr>
        <w:t>that due to the</w:t>
      </w:r>
      <w:r w:rsidRPr="009A7514">
        <w:rPr>
          <w:rFonts w:ascii="Arial" w:hAnsi="Arial" w:cs="Arial"/>
          <w:bCs/>
          <w:sz w:val="24"/>
          <w:szCs w:val="24"/>
        </w:rPr>
        <w:t xml:space="preserve"> </w:t>
      </w:r>
      <w:r w:rsidR="00FE61A4" w:rsidRPr="009A7514">
        <w:rPr>
          <w:rFonts w:ascii="Arial" w:hAnsi="Arial" w:cs="Arial"/>
          <w:bCs/>
          <w:sz w:val="24"/>
          <w:szCs w:val="24"/>
        </w:rPr>
        <w:t>low response rate</w:t>
      </w:r>
      <w:r w:rsidRPr="009A7514">
        <w:rPr>
          <w:rFonts w:ascii="Arial" w:hAnsi="Arial" w:cs="Arial"/>
          <w:bCs/>
          <w:sz w:val="24"/>
          <w:szCs w:val="24"/>
        </w:rPr>
        <w:t>, it was mentioned that additional questions m</w:t>
      </w:r>
      <w:r w:rsidR="00F97EF0">
        <w:rPr>
          <w:rFonts w:ascii="Arial" w:hAnsi="Arial" w:cs="Arial"/>
          <w:bCs/>
          <w:sz w:val="24"/>
          <w:szCs w:val="24"/>
        </w:rPr>
        <w:t>a</w:t>
      </w:r>
      <w:r w:rsidRPr="009A7514">
        <w:rPr>
          <w:rFonts w:ascii="Arial" w:hAnsi="Arial" w:cs="Arial"/>
          <w:bCs/>
          <w:sz w:val="24"/>
          <w:szCs w:val="24"/>
        </w:rPr>
        <w:t>y deter individuals from participating in the survey all together.</w:t>
      </w:r>
    </w:p>
    <w:p w:rsidR="00317616" w:rsidRPr="00894221" w:rsidRDefault="00DF32AA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 xml:space="preserve">It was mentioned that there have been efforts get participation from individuals/employees who do not have regular access to computers. </w:t>
      </w:r>
    </w:p>
    <w:p w:rsidR="00D73DA7" w:rsidRPr="00894221" w:rsidRDefault="00302838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>A separate survey will be created for employees of the State Civil Service agency.</w:t>
      </w:r>
    </w:p>
    <w:p w:rsidR="00894221" w:rsidRDefault="00FE61A4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 xml:space="preserve">Members of the SAME Taskforce asked the following question: </w:t>
      </w:r>
      <w:r w:rsidR="006B73C1" w:rsidRPr="00894221">
        <w:rPr>
          <w:rFonts w:ascii="Arial" w:hAnsi="Arial" w:cs="Arial"/>
          <w:bCs/>
          <w:sz w:val="24"/>
          <w:szCs w:val="24"/>
        </w:rPr>
        <w:t xml:space="preserve">Should the survey continue to move forward in its current format, while bringing in a third company to help synthesize </w:t>
      </w:r>
      <w:r w:rsidR="001C5263" w:rsidRPr="00894221">
        <w:rPr>
          <w:rFonts w:ascii="Arial" w:hAnsi="Arial" w:cs="Arial"/>
          <w:bCs/>
          <w:sz w:val="24"/>
          <w:szCs w:val="24"/>
        </w:rPr>
        <w:t>the data?</w:t>
      </w:r>
      <w:r w:rsidR="00302838" w:rsidRPr="00894221">
        <w:rPr>
          <w:rFonts w:ascii="Arial" w:hAnsi="Arial" w:cs="Arial"/>
          <w:bCs/>
          <w:sz w:val="24"/>
          <w:szCs w:val="24"/>
        </w:rPr>
        <w:t xml:space="preserve">  </w:t>
      </w:r>
      <w:r w:rsidR="004E53E3" w:rsidRPr="00894221">
        <w:rPr>
          <w:rFonts w:ascii="Arial" w:hAnsi="Arial" w:cs="Arial"/>
          <w:bCs/>
          <w:sz w:val="24"/>
          <w:szCs w:val="24"/>
        </w:rPr>
        <w:t xml:space="preserve">Brenda </w:t>
      </w:r>
      <w:r w:rsidR="001C5263" w:rsidRPr="00894221">
        <w:rPr>
          <w:rFonts w:ascii="Arial" w:hAnsi="Arial" w:cs="Arial"/>
          <w:bCs/>
          <w:sz w:val="24"/>
          <w:szCs w:val="24"/>
        </w:rPr>
        <w:t>suggested that the taskforce moves forward with the</w:t>
      </w:r>
      <w:r w:rsidR="004E53E3" w:rsidRPr="00894221">
        <w:rPr>
          <w:rFonts w:ascii="Arial" w:hAnsi="Arial" w:cs="Arial"/>
          <w:bCs/>
          <w:sz w:val="24"/>
          <w:szCs w:val="24"/>
        </w:rPr>
        <w:t xml:space="preserve"> survey </w:t>
      </w:r>
      <w:r w:rsidR="001C5263" w:rsidRPr="00894221">
        <w:rPr>
          <w:rFonts w:ascii="Arial" w:hAnsi="Arial" w:cs="Arial"/>
          <w:bCs/>
          <w:sz w:val="24"/>
          <w:szCs w:val="24"/>
        </w:rPr>
        <w:t>in its current format. It was mentioned that as a habitual survey participant, there will be no p</w:t>
      </w:r>
      <w:r w:rsidR="00894221">
        <w:rPr>
          <w:rFonts w:ascii="Arial" w:hAnsi="Arial" w:cs="Arial"/>
          <w:bCs/>
          <w:sz w:val="24"/>
          <w:szCs w:val="24"/>
        </w:rPr>
        <w:t>roblem answering new questions.</w:t>
      </w:r>
    </w:p>
    <w:p w:rsidR="001C5263" w:rsidRPr="00894221" w:rsidRDefault="004E53E3" w:rsidP="00BD33D7">
      <w:pPr>
        <w:pStyle w:val="Body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>Doug</w:t>
      </w:r>
      <w:r w:rsidR="001C5263" w:rsidRPr="00894221">
        <w:rPr>
          <w:rFonts w:ascii="Arial" w:hAnsi="Arial" w:cs="Arial"/>
          <w:bCs/>
          <w:sz w:val="24"/>
          <w:szCs w:val="24"/>
        </w:rPr>
        <w:t xml:space="preserve"> provided that adding more training will be more valuable to state service. </w:t>
      </w:r>
    </w:p>
    <w:p w:rsidR="001C5263" w:rsidRPr="00894221" w:rsidRDefault="001C5263" w:rsidP="004E53E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DD389E" w:rsidRPr="00894221" w:rsidRDefault="00B363BD" w:rsidP="00B363B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94221">
        <w:rPr>
          <w:rFonts w:ascii="Arial" w:hAnsi="Arial" w:cs="Arial"/>
          <w:b/>
          <w:bCs/>
          <w:sz w:val="24"/>
          <w:szCs w:val="24"/>
        </w:rPr>
        <w:t xml:space="preserve">Review Assignments for </w:t>
      </w:r>
      <w:r w:rsidR="0075175A" w:rsidRPr="00894221">
        <w:rPr>
          <w:rFonts w:ascii="Arial" w:hAnsi="Arial" w:cs="Arial"/>
          <w:b/>
          <w:bCs/>
          <w:sz w:val="24"/>
          <w:szCs w:val="24"/>
        </w:rPr>
        <w:t xml:space="preserve">Review </w:t>
      </w:r>
      <w:r w:rsidRPr="00894221">
        <w:rPr>
          <w:rFonts w:ascii="Arial" w:hAnsi="Arial" w:cs="Arial"/>
          <w:b/>
          <w:bCs/>
          <w:sz w:val="24"/>
          <w:szCs w:val="24"/>
        </w:rPr>
        <w:t>of SAME Report Recommendations</w:t>
      </w:r>
    </w:p>
    <w:tbl>
      <w:tblPr>
        <w:tblW w:w="9976" w:type="dxa"/>
        <w:tblLayout w:type="fixed"/>
        <w:tblLook w:val="04A0" w:firstRow="1" w:lastRow="0" w:firstColumn="1" w:lastColumn="0" w:noHBand="0" w:noVBand="1"/>
      </w:tblPr>
      <w:tblGrid>
        <w:gridCol w:w="2032"/>
        <w:gridCol w:w="1505"/>
        <w:gridCol w:w="620"/>
        <w:gridCol w:w="5159"/>
        <w:gridCol w:w="660"/>
      </w:tblGrid>
      <w:tr w:rsidR="002D2962" w:rsidRPr="00894221" w:rsidTr="002D2962">
        <w:trPr>
          <w:trHeight w:val="126"/>
        </w:trPr>
        <w:tc>
          <w:tcPr>
            <w:tcW w:w="203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D2938" w:rsidRPr="00894221" w:rsidRDefault="002D2938" w:rsidP="002D2938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894221">
              <w:rPr>
                <w:rFonts w:ascii="Arial" w:hAnsi="Arial" w:cs="Arial"/>
                <w:kern w:val="0"/>
                <w:sz w:val="22"/>
                <w:szCs w:val="24"/>
              </w:rPr>
              <w:t>Rachel Pollock,</w:t>
            </w:r>
            <w:r w:rsidR="002D2962" w:rsidRPr="00894221">
              <w:rPr>
                <w:rFonts w:ascii="Arial" w:hAnsi="Arial" w:cs="Arial"/>
                <w:kern w:val="0"/>
                <w:sz w:val="22"/>
                <w:szCs w:val="24"/>
              </w:rPr>
              <w:t xml:space="preserve"> </w:t>
            </w:r>
            <w:r w:rsidRPr="00894221">
              <w:rPr>
                <w:rFonts w:ascii="Arial" w:hAnsi="Arial" w:cs="Arial"/>
                <w:kern w:val="0"/>
                <w:sz w:val="22"/>
                <w:szCs w:val="24"/>
              </w:rPr>
              <w:t>DOTD, DOA, LDH</w:t>
            </w:r>
          </w:p>
        </w:tc>
        <w:tc>
          <w:tcPr>
            <w:tcW w:w="1505" w:type="dxa"/>
            <w:tcBorders>
              <w:top w:val="single" w:sz="8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D2938" w:rsidRPr="00894221" w:rsidRDefault="002D2962" w:rsidP="002D293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894221">
              <w:rPr>
                <w:rFonts w:ascii="Arial" w:hAnsi="Arial" w:cs="Arial"/>
                <w:kern w:val="0"/>
                <w:sz w:val="22"/>
                <w:szCs w:val="24"/>
              </w:rPr>
              <w:t>June 11, 2021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Dash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2938" w:rsidRPr="00894221" w:rsidRDefault="002D2938" w:rsidP="002D293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894221">
              <w:rPr>
                <w:rFonts w:ascii="Arial" w:hAnsi="Arial" w:cs="Arial"/>
                <w:kern w:val="0"/>
                <w:sz w:val="22"/>
                <w:szCs w:val="24"/>
              </w:rPr>
              <w:t>3.7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938" w:rsidRPr="00894221" w:rsidRDefault="002D2938" w:rsidP="002D293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894221">
              <w:rPr>
                <w:rFonts w:ascii="Arial" w:hAnsi="Arial" w:cs="Arial"/>
                <w:kern w:val="0"/>
                <w:sz w:val="22"/>
                <w:szCs w:val="24"/>
              </w:rPr>
              <w:t>Call for Early Adopter Agencies to Pilot Best Practices to Provide Concrete Guidance for All State Agencies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938" w:rsidRPr="00894221" w:rsidRDefault="002D2938" w:rsidP="002D293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4718ED" w:rsidRPr="00894221" w:rsidRDefault="004718ED" w:rsidP="004718E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4718ED" w:rsidRPr="00894221" w:rsidRDefault="004718ED" w:rsidP="004718E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94221">
        <w:rPr>
          <w:rFonts w:ascii="Arial" w:hAnsi="Arial" w:cs="Arial"/>
          <w:b/>
          <w:bCs/>
          <w:sz w:val="24"/>
          <w:szCs w:val="24"/>
        </w:rPr>
        <w:t>2.  … Partnerships between State Agencies and Agencies that Provide Employment Services to Individuals with Disabilities</w:t>
      </w:r>
    </w:p>
    <w:p w:rsidR="001C5263" w:rsidRPr="00894221" w:rsidRDefault="001C5263" w:rsidP="004718E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Cs/>
          <w:sz w:val="24"/>
          <w:szCs w:val="24"/>
        </w:rPr>
        <w:t xml:space="preserve">Brenda- provided that LRS is participated with OBH and the Office of Disability Policy, and with Joe Maroney on a webinar. </w:t>
      </w:r>
    </w:p>
    <w:p w:rsidR="001C5263" w:rsidRPr="00894221" w:rsidRDefault="001C5263" w:rsidP="004718E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270230" w:rsidRPr="00894221" w:rsidRDefault="00270230" w:rsidP="0008785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94221"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1317F6" w:rsidRPr="00894221">
        <w:rPr>
          <w:rFonts w:ascii="Arial" w:hAnsi="Arial" w:cs="Arial"/>
          <w:b/>
          <w:bCs/>
          <w:sz w:val="24"/>
          <w:szCs w:val="24"/>
        </w:rPr>
        <w:t xml:space="preserve">Office of </w:t>
      </w:r>
      <w:r w:rsidRPr="00894221">
        <w:rPr>
          <w:rFonts w:ascii="Arial" w:hAnsi="Arial" w:cs="Arial"/>
          <w:b/>
          <w:bCs/>
          <w:sz w:val="24"/>
          <w:szCs w:val="24"/>
        </w:rPr>
        <w:t xml:space="preserve">State ADA Coordinator </w:t>
      </w:r>
      <w:r w:rsidR="001317F6" w:rsidRPr="00894221">
        <w:rPr>
          <w:rFonts w:ascii="Arial" w:hAnsi="Arial" w:cs="Arial"/>
          <w:b/>
          <w:bCs/>
          <w:sz w:val="24"/>
          <w:szCs w:val="24"/>
        </w:rPr>
        <w:t xml:space="preserve">legislation: </w:t>
      </w:r>
      <w:r w:rsidR="001317F6" w:rsidRPr="00894221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1317F6" w:rsidRPr="00894221">
          <w:rPr>
            <w:rStyle w:val="Hyperlink"/>
            <w:rFonts w:ascii="Arial" w:hAnsi="Arial" w:cs="Arial"/>
            <w:bCs/>
            <w:sz w:val="24"/>
            <w:szCs w:val="24"/>
          </w:rPr>
          <w:t>HB 446</w:t>
        </w:r>
      </w:hyperlink>
    </w:p>
    <w:p w:rsidR="001C5263" w:rsidRPr="00894221" w:rsidRDefault="001C5263" w:rsidP="00DA692A">
      <w:pPr>
        <w:spacing w:line="276" w:lineRule="auto"/>
        <w:rPr>
          <w:rFonts w:ascii="Arial" w:hAnsi="Arial" w:cs="Arial"/>
          <w:sz w:val="24"/>
          <w:szCs w:val="24"/>
        </w:rPr>
      </w:pPr>
      <w:r w:rsidRPr="00894221">
        <w:rPr>
          <w:rFonts w:ascii="Arial" w:hAnsi="Arial" w:cs="Arial"/>
          <w:sz w:val="24"/>
          <w:szCs w:val="24"/>
        </w:rPr>
        <w:t>Bambi provided an overview of HB 446</w:t>
      </w:r>
      <w:r w:rsidR="00894221">
        <w:rPr>
          <w:rFonts w:ascii="Arial" w:hAnsi="Arial" w:cs="Arial"/>
          <w:sz w:val="24"/>
          <w:szCs w:val="24"/>
        </w:rPr>
        <w:t xml:space="preserve">, which </w:t>
      </w:r>
      <w:r w:rsidRPr="00894221">
        <w:rPr>
          <w:rFonts w:ascii="Arial" w:hAnsi="Arial" w:cs="Arial"/>
          <w:sz w:val="24"/>
          <w:szCs w:val="24"/>
        </w:rPr>
        <w:t xml:space="preserve">passed in both </w:t>
      </w:r>
      <w:r w:rsidR="00F97EF0">
        <w:rPr>
          <w:rFonts w:ascii="Arial" w:hAnsi="Arial" w:cs="Arial"/>
          <w:sz w:val="24"/>
          <w:szCs w:val="24"/>
        </w:rPr>
        <w:t xml:space="preserve">House </w:t>
      </w:r>
      <w:r w:rsidRPr="00894221">
        <w:rPr>
          <w:rFonts w:ascii="Arial" w:hAnsi="Arial" w:cs="Arial"/>
          <w:sz w:val="24"/>
          <w:szCs w:val="24"/>
        </w:rPr>
        <w:t>committees unanimously, and will be he</w:t>
      </w:r>
      <w:r w:rsidR="00894221">
        <w:rPr>
          <w:rFonts w:ascii="Arial" w:hAnsi="Arial" w:cs="Arial"/>
          <w:sz w:val="24"/>
          <w:szCs w:val="24"/>
        </w:rPr>
        <w:t>ard on the House Floor Tuesday</w:t>
      </w:r>
      <w:r w:rsidRPr="00894221">
        <w:rPr>
          <w:rFonts w:ascii="Arial" w:hAnsi="Arial" w:cs="Arial"/>
          <w:sz w:val="24"/>
          <w:szCs w:val="24"/>
        </w:rPr>
        <w:t xml:space="preserve">. </w:t>
      </w:r>
    </w:p>
    <w:p w:rsidR="00894221" w:rsidRDefault="00894221" w:rsidP="00DA692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361A7" w:rsidRPr="00894221" w:rsidRDefault="00DF1111" w:rsidP="00DA692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94221">
        <w:rPr>
          <w:rFonts w:ascii="Arial" w:hAnsi="Arial" w:cs="Arial"/>
          <w:b/>
          <w:sz w:val="24"/>
          <w:szCs w:val="24"/>
        </w:rPr>
        <w:t>Adjournment</w:t>
      </w:r>
      <w:r w:rsidR="00894221">
        <w:rPr>
          <w:rFonts w:ascii="Arial" w:hAnsi="Arial" w:cs="Arial"/>
          <w:b/>
          <w:sz w:val="24"/>
          <w:szCs w:val="24"/>
        </w:rPr>
        <w:tab/>
      </w:r>
      <w:r w:rsidR="00E361A7" w:rsidRPr="00894221">
        <w:rPr>
          <w:rFonts w:ascii="Arial" w:hAnsi="Arial" w:cs="Arial"/>
          <w:sz w:val="24"/>
          <w:szCs w:val="24"/>
        </w:rPr>
        <w:t xml:space="preserve">Meeting adjourned at 11:56 am. </w:t>
      </w:r>
      <w:bookmarkStart w:id="0" w:name="_GoBack"/>
      <w:bookmarkEnd w:id="0"/>
    </w:p>
    <w:p w:rsidR="004718ED" w:rsidRDefault="004718ED" w:rsidP="00F97EF0">
      <w:pPr>
        <w:spacing w:line="276" w:lineRule="auto"/>
        <w:rPr>
          <w:rFonts w:ascii="Arial" w:hAnsi="Arial" w:cs="Arial"/>
          <w:bCs/>
          <w:sz w:val="22"/>
          <w:szCs w:val="26"/>
        </w:rPr>
      </w:pPr>
    </w:p>
    <w:p w:rsidR="006D6093" w:rsidRPr="002D2962" w:rsidRDefault="001317F6" w:rsidP="002D2962">
      <w:pPr>
        <w:spacing w:line="276" w:lineRule="auto"/>
        <w:jc w:val="center"/>
        <w:rPr>
          <w:rFonts w:ascii="Arial" w:hAnsi="Arial" w:cs="Arial"/>
          <w:bCs/>
          <w:sz w:val="22"/>
          <w:szCs w:val="26"/>
        </w:rPr>
      </w:pPr>
      <w:r w:rsidRPr="001317F6">
        <w:rPr>
          <w:rFonts w:ascii="Arial" w:hAnsi="Arial" w:cs="Arial"/>
          <w:bCs/>
          <w:sz w:val="22"/>
          <w:szCs w:val="26"/>
        </w:rPr>
        <w:t xml:space="preserve">Disability Employment Webpage: </w:t>
      </w:r>
      <w:hyperlink r:id="rId10" w:history="1">
        <w:r w:rsidRPr="001317F6">
          <w:rPr>
            <w:rStyle w:val="Hyperlink"/>
            <w:rFonts w:ascii="Arial" w:hAnsi="Arial" w:cs="Arial"/>
            <w:bCs/>
            <w:sz w:val="22"/>
            <w:szCs w:val="26"/>
          </w:rPr>
          <w:t>https://gov.louisiana.gov/page/disability-employment-initiative</w:t>
        </w:r>
      </w:hyperlink>
    </w:p>
    <w:sectPr w:rsidR="006D6093" w:rsidRPr="002D2962" w:rsidSect="00B363BD">
      <w:type w:val="continuous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D3" w:rsidRDefault="00B77DD3" w:rsidP="003B503E">
      <w:r>
        <w:separator/>
      </w:r>
    </w:p>
  </w:endnote>
  <w:endnote w:type="continuationSeparator" w:id="0">
    <w:p w:rsidR="00B77DD3" w:rsidRDefault="00B77DD3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D3" w:rsidRDefault="00B77DD3" w:rsidP="003B503E">
      <w:r>
        <w:separator/>
      </w:r>
    </w:p>
  </w:footnote>
  <w:footnote w:type="continuationSeparator" w:id="0">
    <w:p w:rsidR="00B77DD3" w:rsidRDefault="00B77DD3" w:rsidP="003B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7AB2"/>
    <w:multiLevelType w:val="hybridMultilevel"/>
    <w:tmpl w:val="9E92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40F16"/>
    <w:rsid w:val="00052578"/>
    <w:rsid w:val="0005617F"/>
    <w:rsid w:val="000648B6"/>
    <w:rsid w:val="00082D22"/>
    <w:rsid w:val="0008556F"/>
    <w:rsid w:val="00087859"/>
    <w:rsid w:val="00097925"/>
    <w:rsid w:val="000C4131"/>
    <w:rsid w:val="000C57FB"/>
    <w:rsid w:val="000D5E32"/>
    <w:rsid w:val="000E4271"/>
    <w:rsid w:val="000F3B40"/>
    <w:rsid w:val="00116599"/>
    <w:rsid w:val="00120A94"/>
    <w:rsid w:val="001317F6"/>
    <w:rsid w:val="00133F4B"/>
    <w:rsid w:val="00137287"/>
    <w:rsid w:val="00166BF3"/>
    <w:rsid w:val="001672D3"/>
    <w:rsid w:val="00183591"/>
    <w:rsid w:val="001929E0"/>
    <w:rsid w:val="001A6A10"/>
    <w:rsid w:val="001C5263"/>
    <w:rsid w:val="001C7999"/>
    <w:rsid w:val="00204BCA"/>
    <w:rsid w:val="00232BEE"/>
    <w:rsid w:val="00235E8F"/>
    <w:rsid w:val="00260233"/>
    <w:rsid w:val="00263D8C"/>
    <w:rsid w:val="00270230"/>
    <w:rsid w:val="00280040"/>
    <w:rsid w:val="002A69D9"/>
    <w:rsid w:val="002A72E3"/>
    <w:rsid w:val="002B5CDD"/>
    <w:rsid w:val="002C4195"/>
    <w:rsid w:val="002D2938"/>
    <w:rsid w:val="002D2962"/>
    <w:rsid w:val="002E60BC"/>
    <w:rsid w:val="002F3363"/>
    <w:rsid w:val="00302838"/>
    <w:rsid w:val="00317616"/>
    <w:rsid w:val="003276CA"/>
    <w:rsid w:val="00353CCA"/>
    <w:rsid w:val="003868F7"/>
    <w:rsid w:val="003B1DC0"/>
    <w:rsid w:val="003B3E67"/>
    <w:rsid w:val="003B503E"/>
    <w:rsid w:val="003C6A05"/>
    <w:rsid w:val="003D01D4"/>
    <w:rsid w:val="003E6678"/>
    <w:rsid w:val="003F6534"/>
    <w:rsid w:val="003F77B7"/>
    <w:rsid w:val="00401175"/>
    <w:rsid w:val="00422B3B"/>
    <w:rsid w:val="00427C55"/>
    <w:rsid w:val="00436C87"/>
    <w:rsid w:val="004401CF"/>
    <w:rsid w:val="004433E6"/>
    <w:rsid w:val="004509EB"/>
    <w:rsid w:val="0045186F"/>
    <w:rsid w:val="00453ADD"/>
    <w:rsid w:val="00467F70"/>
    <w:rsid w:val="00470457"/>
    <w:rsid w:val="004718ED"/>
    <w:rsid w:val="00473C73"/>
    <w:rsid w:val="00481494"/>
    <w:rsid w:val="00482788"/>
    <w:rsid w:val="0049271E"/>
    <w:rsid w:val="004B58C5"/>
    <w:rsid w:val="004C183B"/>
    <w:rsid w:val="004C38BA"/>
    <w:rsid w:val="004E53E3"/>
    <w:rsid w:val="004E56E9"/>
    <w:rsid w:val="004F10A5"/>
    <w:rsid w:val="004F2BC2"/>
    <w:rsid w:val="004F41AB"/>
    <w:rsid w:val="004F49EE"/>
    <w:rsid w:val="0054293B"/>
    <w:rsid w:val="00557C7F"/>
    <w:rsid w:val="00560DF3"/>
    <w:rsid w:val="00571A88"/>
    <w:rsid w:val="00573AD1"/>
    <w:rsid w:val="00573DBA"/>
    <w:rsid w:val="005753B7"/>
    <w:rsid w:val="00587DE0"/>
    <w:rsid w:val="00597F64"/>
    <w:rsid w:val="005A1A3F"/>
    <w:rsid w:val="005A5732"/>
    <w:rsid w:val="005A7D39"/>
    <w:rsid w:val="005B2E32"/>
    <w:rsid w:val="005B3A28"/>
    <w:rsid w:val="005B5B7D"/>
    <w:rsid w:val="005C13E5"/>
    <w:rsid w:val="005C265D"/>
    <w:rsid w:val="005E12CF"/>
    <w:rsid w:val="005E4F62"/>
    <w:rsid w:val="00620BC8"/>
    <w:rsid w:val="006436BA"/>
    <w:rsid w:val="006444B2"/>
    <w:rsid w:val="00657557"/>
    <w:rsid w:val="00663A41"/>
    <w:rsid w:val="006705DF"/>
    <w:rsid w:val="00680960"/>
    <w:rsid w:val="006B73C1"/>
    <w:rsid w:val="006B780E"/>
    <w:rsid w:val="006D3643"/>
    <w:rsid w:val="006D6093"/>
    <w:rsid w:val="006E65FC"/>
    <w:rsid w:val="00722E42"/>
    <w:rsid w:val="007301A4"/>
    <w:rsid w:val="0074295C"/>
    <w:rsid w:val="0075175A"/>
    <w:rsid w:val="0076772D"/>
    <w:rsid w:val="00770B68"/>
    <w:rsid w:val="00771B86"/>
    <w:rsid w:val="00774E7F"/>
    <w:rsid w:val="007764D3"/>
    <w:rsid w:val="00782C0E"/>
    <w:rsid w:val="00784E78"/>
    <w:rsid w:val="007A12DA"/>
    <w:rsid w:val="007A5C90"/>
    <w:rsid w:val="007A7445"/>
    <w:rsid w:val="007B1815"/>
    <w:rsid w:val="007B2624"/>
    <w:rsid w:val="007B618F"/>
    <w:rsid w:val="007C5573"/>
    <w:rsid w:val="007F6875"/>
    <w:rsid w:val="007F7678"/>
    <w:rsid w:val="0080611D"/>
    <w:rsid w:val="00813F71"/>
    <w:rsid w:val="008160A3"/>
    <w:rsid w:val="008807CF"/>
    <w:rsid w:val="0088177B"/>
    <w:rsid w:val="008817D5"/>
    <w:rsid w:val="00883C1C"/>
    <w:rsid w:val="00886E2C"/>
    <w:rsid w:val="008931B4"/>
    <w:rsid w:val="00894221"/>
    <w:rsid w:val="008A3A79"/>
    <w:rsid w:val="008B45FB"/>
    <w:rsid w:val="008C25F5"/>
    <w:rsid w:val="008F7061"/>
    <w:rsid w:val="009111E8"/>
    <w:rsid w:val="00913BBF"/>
    <w:rsid w:val="009168D7"/>
    <w:rsid w:val="009438F7"/>
    <w:rsid w:val="00944253"/>
    <w:rsid w:val="00950F91"/>
    <w:rsid w:val="009641E9"/>
    <w:rsid w:val="00967B91"/>
    <w:rsid w:val="009A7514"/>
    <w:rsid w:val="009C3988"/>
    <w:rsid w:val="00A075ED"/>
    <w:rsid w:val="00A11EA1"/>
    <w:rsid w:val="00A42EB4"/>
    <w:rsid w:val="00A47E96"/>
    <w:rsid w:val="00A63DAD"/>
    <w:rsid w:val="00A66121"/>
    <w:rsid w:val="00A76BA9"/>
    <w:rsid w:val="00A85FEA"/>
    <w:rsid w:val="00AA332A"/>
    <w:rsid w:val="00AB4042"/>
    <w:rsid w:val="00AD3A86"/>
    <w:rsid w:val="00AD59D2"/>
    <w:rsid w:val="00AD65D0"/>
    <w:rsid w:val="00AE01E9"/>
    <w:rsid w:val="00B107CA"/>
    <w:rsid w:val="00B144EE"/>
    <w:rsid w:val="00B14807"/>
    <w:rsid w:val="00B23EEF"/>
    <w:rsid w:val="00B2600B"/>
    <w:rsid w:val="00B363BD"/>
    <w:rsid w:val="00B36786"/>
    <w:rsid w:val="00B422E9"/>
    <w:rsid w:val="00B5363A"/>
    <w:rsid w:val="00B65E26"/>
    <w:rsid w:val="00B77DD3"/>
    <w:rsid w:val="00B91818"/>
    <w:rsid w:val="00B924CA"/>
    <w:rsid w:val="00B94D3C"/>
    <w:rsid w:val="00BC0C58"/>
    <w:rsid w:val="00BC684B"/>
    <w:rsid w:val="00BD28A1"/>
    <w:rsid w:val="00BD33D7"/>
    <w:rsid w:val="00BE709E"/>
    <w:rsid w:val="00BF0C29"/>
    <w:rsid w:val="00BF701E"/>
    <w:rsid w:val="00C03062"/>
    <w:rsid w:val="00C07F82"/>
    <w:rsid w:val="00C30822"/>
    <w:rsid w:val="00C3209D"/>
    <w:rsid w:val="00C377E8"/>
    <w:rsid w:val="00C440EF"/>
    <w:rsid w:val="00C47A97"/>
    <w:rsid w:val="00C73DD1"/>
    <w:rsid w:val="00C77A5F"/>
    <w:rsid w:val="00C82B41"/>
    <w:rsid w:val="00CA1D77"/>
    <w:rsid w:val="00CA34E2"/>
    <w:rsid w:val="00CA6EE2"/>
    <w:rsid w:val="00CD2378"/>
    <w:rsid w:val="00CE24B6"/>
    <w:rsid w:val="00CE76A6"/>
    <w:rsid w:val="00CF6E18"/>
    <w:rsid w:val="00D17D4D"/>
    <w:rsid w:val="00D21BC5"/>
    <w:rsid w:val="00D30188"/>
    <w:rsid w:val="00D32018"/>
    <w:rsid w:val="00D73DA7"/>
    <w:rsid w:val="00D96325"/>
    <w:rsid w:val="00DA692A"/>
    <w:rsid w:val="00DD26EA"/>
    <w:rsid w:val="00DD389E"/>
    <w:rsid w:val="00DD5933"/>
    <w:rsid w:val="00DD72F6"/>
    <w:rsid w:val="00DF1111"/>
    <w:rsid w:val="00DF32AA"/>
    <w:rsid w:val="00DF4A40"/>
    <w:rsid w:val="00E361A7"/>
    <w:rsid w:val="00E40462"/>
    <w:rsid w:val="00E416E8"/>
    <w:rsid w:val="00E45CCF"/>
    <w:rsid w:val="00E47EF4"/>
    <w:rsid w:val="00E730F5"/>
    <w:rsid w:val="00E92BFD"/>
    <w:rsid w:val="00E9570D"/>
    <w:rsid w:val="00EA08A2"/>
    <w:rsid w:val="00EB12FD"/>
    <w:rsid w:val="00EC708F"/>
    <w:rsid w:val="00EE3F4D"/>
    <w:rsid w:val="00F00500"/>
    <w:rsid w:val="00F0252F"/>
    <w:rsid w:val="00F02806"/>
    <w:rsid w:val="00F0759C"/>
    <w:rsid w:val="00F100CC"/>
    <w:rsid w:val="00F13D23"/>
    <w:rsid w:val="00F22918"/>
    <w:rsid w:val="00F24D98"/>
    <w:rsid w:val="00F46D3D"/>
    <w:rsid w:val="00F816F9"/>
    <w:rsid w:val="00F97EF0"/>
    <w:rsid w:val="00FB43A4"/>
    <w:rsid w:val="00FC1D80"/>
    <w:rsid w:val="00FD1511"/>
    <w:rsid w:val="00FD5E5F"/>
    <w:rsid w:val="00FD7B42"/>
    <w:rsid w:val="00FE61A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5F0CB-2764-420F-B778-29B6742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F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paragraph" w:styleId="NoSpacing">
    <w:name w:val="No Spacing"/>
    <w:uiPriority w:val="1"/>
    <w:qFormat/>
    <w:rsid w:val="009C398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1480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7061"/>
    <w:pPr>
      <w:widowControl/>
      <w:overflowPunct/>
      <w:autoSpaceDE/>
      <w:autoSpaceDN/>
      <w:adjustRightInd/>
    </w:pPr>
    <w:rPr>
      <w:rFonts w:ascii="Calibri" w:eastAsia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7061"/>
    <w:rPr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87859"/>
    <w:pPr>
      <w:widowControl/>
      <w:overflowPunct/>
      <w:autoSpaceDE/>
      <w:autoSpaceDN/>
      <w:adjustRightInd/>
      <w:spacing w:after="120"/>
    </w:pPr>
    <w:rPr>
      <w:rFonts w:ascii="Calibri" w:hAnsi="Calibr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7859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13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6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9645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7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louisiana.gov/assets/Programs/GODA/SAME_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.louisiana.gov/page/disability-employment-initi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la.gov/legis/BillInfo.aspx?i=24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67A4-F510-4AEF-AE5F-B8D6E88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Links>
    <vt:vector size="18" baseType="variant"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http://gov.louisiana.gov/assets/ExecutiveOrders/JBE-18-08.pdf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 Jolivette</dc:creator>
  <cp:lastModifiedBy>Polotzola, Bambi</cp:lastModifiedBy>
  <cp:revision>3</cp:revision>
  <cp:lastPrinted>2018-09-11T20:13:00Z</cp:lastPrinted>
  <dcterms:created xsi:type="dcterms:W3CDTF">2021-05-18T19:54:00Z</dcterms:created>
  <dcterms:modified xsi:type="dcterms:W3CDTF">2021-06-04T19:19:00Z</dcterms:modified>
</cp:coreProperties>
</file>